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335" w:rsidRPr="00260335" w:rsidRDefault="00260335" w:rsidP="00260335">
      <w:pPr>
        <w:pStyle w:val="western"/>
        <w:ind w:left="11"/>
        <w:jc w:val="center"/>
        <w:rPr>
          <w:rStyle w:val="Pogrubienie"/>
          <w:rFonts w:ascii="Arial" w:hAnsi="Arial" w:cs="Arial"/>
          <w:color w:val="222222"/>
          <w:sz w:val="22"/>
          <w:szCs w:val="18"/>
        </w:rPr>
      </w:pPr>
      <w:r w:rsidRPr="00260335">
        <w:rPr>
          <w:rStyle w:val="Pogrubienie"/>
          <w:rFonts w:ascii="Arial" w:hAnsi="Arial" w:cs="Arial"/>
          <w:color w:val="222222"/>
          <w:sz w:val="22"/>
          <w:szCs w:val="18"/>
        </w:rPr>
        <w:t>Higiena środków żywienia zwierząt</w:t>
      </w:r>
    </w:p>
    <w:p w:rsidR="00260335" w:rsidRDefault="00260335" w:rsidP="00260335">
      <w:pPr>
        <w:pStyle w:val="western"/>
        <w:ind w:left="11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Pogrubienie"/>
          <w:rFonts w:ascii="Arial" w:hAnsi="Arial" w:cs="Arial"/>
          <w:color w:val="222222"/>
          <w:sz w:val="18"/>
          <w:szCs w:val="18"/>
        </w:rPr>
        <w:t xml:space="preserve">TREŚCI WYKŁADÓW – </w:t>
      </w:r>
      <w:r>
        <w:rPr>
          <w:rFonts w:ascii="Arial" w:hAnsi="Arial" w:cs="Arial"/>
          <w:color w:val="222222"/>
          <w:sz w:val="18"/>
          <w:szCs w:val="18"/>
        </w:rPr>
        <w:t xml:space="preserve">Żywienie jako permanentne leczenie – potrzeby żywieniowe, niedożywienie, przyswajanie pasz, nadmierne przyjmowanie pokarmu, stany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subkliniczne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technopatie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żywieniowe. Podstawy pobierania i trawienia pasz – sposoby pobierania pasz, sposoby trawienia pokarmu, fazy przetwarzania pokarmu, trawienie chemiczne, komory fermentacyjne, mechanizmy homeostazy ogólnej. Zerowa tolerancja a jurysdykcja – zero tolerancji a substancje chemiczne, zero tolerancji a mikroorganizmy. Alternatywy dla zerowych tolerancji w żywności i paszach. Prognozy. Bezpieczeństwo żywnościowe – oczekiwania, zasady bezpieczeństwa żywnościowego, stosunek korzyści do ryzyka, weterynaryjne czynniki bezpieczeństwa żywnościowego. Organizacja urzędowej kontroli – założenia prawne, określenie zagrożeń, czynności wpływające na bezpieczeństwo pasz, wiarygodność kontroli, niezgodności, wyznaczanie kryteriów operacyjnych. Substancje niepożądane – wchłanianie, biotransformacja i wydalanie, rodzaje interakcji, aktywność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antyportowa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III fazy transformacji, molekularne pompy jonowe, recyrkulacja wątrobowo-jelitowa, regulatory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prereceptorowe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 Karmy zwierząt towarzyszących – profil przemysłu produkującego karmy, główne składniki i właściwości karm, techniki i technologie produkcji karm. Gospodarka odpadami pochodzenia zwierzęcego – rozporządzenie 1069/2009, kategorie odpadów, zatwierdzanie zakładów produkujących karmy, działania kontrolne i inspekcyjne. Etiologia „paszowa” BSE – mączki mięsno kostne jako potencjalne źródło chorób zakaźnych, znaczenie mączek zwierzęcych. Systemy szybkiego ostrzegania i plany gotowości – RASFF dla pasz, kontrola graniczna, kontrola rynku wewnętrznego, zakłady ubezpieczeniowe, postępowania po przyjęciu informacji, częstotliwość kontroli. Pasze a środowisko</w:t>
      </w:r>
      <w:r>
        <w:rPr>
          <w:rStyle w:val="Pogrubienie"/>
          <w:rFonts w:ascii="Arial" w:hAnsi="Arial" w:cs="Arial"/>
          <w:color w:val="222222"/>
          <w:sz w:val="18"/>
          <w:szCs w:val="18"/>
        </w:rPr>
        <w:t xml:space="preserve"> –</w:t>
      </w:r>
      <w:r>
        <w:rPr>
          <w:rFonts w:ascii="Arial" w:hAnsi="Arial" w:cs="Arial"/>
          <w:color w:val="222222"/>
          <w:sz w:val="18"/>
          <w:szCs w:val="18"/>
        </w:rPr>
        <w:t xml:space="preserve"> Efekty stosowania stymulatorów. Efekt cieplarniany. Jakość higieniczna odchodów zwierzęcych. Środki terapeutyczne a środowisko. Sytuacje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ekotonowe</w:t>
      </w:r>
      <w:proofErr w:type="spellEnd"/>
      <w:r>
        <w:rPr>
          <w:rFonts w:ascii="Arial" w:hAnsi="Arial" w:cs="Arial"/>
          <w:color w:val="222222"/>
          <w:sz w:val="18"/>
          <w:szCs w:val="18"/>
        </w:rPr>
        <w:t>. Woda to też pasza</w:t>
      </w:r>
      <w:r>
        <w:rPr>
          <w:rStyle w:val="Pogrubienie"/>
          <w:rFonts w:ascii="Arial" w:hAnsi="Arial" w:cs="Arial"/>
          <w:color w:val="222222"/>
          <w:sz w:val="18"/>
          <w:szCs w:val="18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>– Woda i przestrzenie wodne. Bilans wodny organizmu. Wody występujące w przyrodzie. Zasoby dyspozycyjne. Woda jako wektor czynników chorobotwórczych. Zarządzanie ryzykiem substancji niepożądanych w produkcji pierwotnej i podczas obrotu</w:t>
      </w:r>
      <w:r>
        <w:rPr>
          <w:rStyle w:val="Pogrubienie"/>
          <w:rFonts w:ascii="Arial" w:hAnsi="Arial" w:cs="Arial"/>
          <w:color w:val="222222"/>
          <w:sz w:val="18"/>
          <w:szCs w:val="18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>– Obecność substancji w materiałach paszowych. Międzynarodowe normy regulacyjne. Oszacowanie i zarządzanie zanieczyszczeniami. Ryzyko transmisji zanieczyszczeń z paszy do żywności – Obecność w materiałach paszowych środków ochrony roślin, zanieczyszczeń przemysłowych, pozostałości leków weterynaryjnych.</w:t>
      </w:r>
    </w:p>
    <w:p w:rsidR="00260335" w:rsidRDefault="00260335" w:rsidP="00260335">
      <w:pPr>
        <w:pStyle w:val="western"/>
        <w:spacing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Pogrubienie"/>
          <w:rFonts w:ascii="Arial" w:hAnsi="Arial" w:cs="Arial"/>
          <w:color w:val="222222"/>
          <w:sz w:val="18"/>
          <w:szCs w:val="18"/>
        </w:rPr>
        <w:t xml:space="preserve">TREŚCI ĆWICZEŃ – </w:t>
      </w:r>
      <w:r>
        <w:rPr>
          <w:rFonts w:ascii="Arial" w:hAnsi="Arial" w:cs="Arial"/>
          <w:color w:val="222222"/>
          <w:sz w:val="18"/>
          <w:szCs w:val="18"/>
        </w:rPr>
        <w:t xml:space="preserve">Prawodawstwo – Źródła prawa krajowego i Unii Europejskiej regulujące zasady wytwarzania, obrotu i stosowania pasz. Zasady wydawania decyzji administracyjnej. Obrót środkami żywienia zwierząt – Zasady obowiązujące przy obrocie paszami i materiałami paszowymi oraz dodatkami do pasz między Państwami UE. Weterynaryjna kontrola graniczna. Szkodniki magazynowe i dezynfekcje – Szkodniki występujące w paszach i materiałach paszowych. Dezynfekcja pomieszczeń magazynowych i produkcyjnych oraz deratyzacja. </w:t>
      </w:r>
      <w:r>
        <w:rPr>
          <w:rFonts w:ascii="Arial" w:hAnsi="Arial" w:cs="Arial"/>
          <w:color w:val="222222"/>
          <w:sz w:val="18"/>
          <w:szCs w:val="18"/>
        </w:rPr>
        <w:t>Zatwierdzanie</w:t>
      </w:r>
      <w:r>
        <w:rPr>
          <w:rFonts w:ascii="Arial" w:hAnsi="Arial" w:cs="Arial"/>
          <w:color w:val="222222"/>
          <w:sz w:val="18"/>
          <w:szCs w:val="18"/>
        </w:rPr>
        <w:t xml:space="preserve"> zakładów i dodatki paszowe – Zatwierdzanie podmiotów sektora paszowego, urzędowe kontrole, protokoły kontroli. Prowadzenie rejestrów podmiotów zgodnie z rozporządzeniem 183/2005. Produkcja pierwotna, produkcja pasz na potrzeby własne. Nadzór weterynaryjny – Urzędowy monitoring pasz i jego raportowanie. Zasady przeprowadzania urzędowego dochodzenia po wystąpieniu niezgodności. Analiza ryzyka.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Labeling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pasz i znaczenie wody – Etykietowanie (czytanie i analiza); Woda: sposoby pozyskiwania i utraty wody przez organizm; zasady pobierania próbek wody do badań laboratoryjnych. Produkcja pasz – Technologie wytwarzania pasz. Struktura wytwórni pasz. Nadzór właścicielski nad wytwarzaniem pasz. GMO w żywieniu zwierząt gospodarskich. Wspólnotowy rejestr GMO. Zadania IW przy nadzorze nad GMO. Białko zwierzęce – Zakaz stosowania przetworzonych białek w żywieniu zwierząt gospodarskich. Dozwolone białka. Polepszacze gleby - ryzyko skażenia pasz. Materiały paszowe pochodzenia zwierzęcego - produkcja, obrót, stosowanie. Pasze jako wektor chorób zakaźnych w tym zoonoz. Pasze lecznicze – Wytwarzanie i obrót paszami leczniczymi. Produkty lecznicze weterynaryjne. Żywienie zwierząt a prawo farmaceutyczne.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Premiksy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lecznicze weterynaryjne. </w:t>
      </w:r>
      <w:proofErr w:type="spellStart"/>
      <w:r>
        <w:rPr>
          <w:rFonts w:ascii="Arial" w:hAnsi="Arial" w:cs="Arial"/>
          <w:color w:val="222222"/>
          <w:sz w:val="18"/>
          <w:szCs w:val="18"/>
        </w:rPr>
        <w:t>Kokcydiostatyki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- problemy w stosowaniu.</w:t>
      </w:r>
    </w:p>
    <w:p w:rsidR="00260335" w:rsidRDefault="00260335" w:rsidP="00260335">
      <w:pPr>
        <w:pStyle w:val="western"/>
        <w:spacing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Style w:val="Pogrubienie"/>
          <w:rFonts w:ascii="Arial" w:hAnsi="Arial" w:cs="Arial"/>
          <w:color w:val="222222"/>
          <w:sz w:val="18"/>
          <w:szCs w:val="18"/>
        </w:rPr>
        <w:t>ZAŁOŻENIA I CELE PRZEDMIOTU JAKO EFEKTY KSZTAŁCENIA:</w:t>
      </w:r>
    </w:p>
    <w:p w:rsidR="00260335" w:rsidRDefault="00260335" w:rsidP="00260335">
      <w:pPr>
        <w:pStyle w:val="western"/>
        <w:spacing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Pogrubienie"/>
          <w:rFonts w:ascii="Arial" w:hAnsi="Arial" w:cs="Arial"/>
          <w:color w:val="222222"/>
          <w:sz w:val="18"/>
          <w:szCs w:val="18"/>
        </w:rPr>
        <w:t xml:space="preserve">Wiedza – </w:t>
      </w:r>
      <w:r>
        <w:rPr>
          <w:rFonts w:ascii="Arial" w:hAnsi="Arial" w:cs="Arial"/>
          <w:color w:val="222222"/>
          <w:sz w:val="18"/>
          <w:szCs w:val="18"/>
        </w:rPr>
        <w:t>Absolwenci posiądą wiedzę na temat jakości handlowej i zdrowotnej produktów produkcji pierwotnej pochodzenia roślinnego i zwierzęcego, materiałów paszowych i dodatków paszowych stosowanych do produkcji pasz i żywienia zwierząt.</w:t>
      </w:r>
    </w:p>
    <w:p w:rsidR="00260335" w:rsidRDefault="00260335" w:rsidP="00260335">
      <w:pPr>
        <w:pStyle w:val="western"/>
        <w:spacing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Pogrubienie"/>
          <w:rFonts w:ascii="Arial" w:hAnsi="Arial" w:cs="Arial"/>
          <w:color w:val="222222"/>
          <w:sz w:val="18"/>
          <w:szCs w:val="18"/>
        </w:rPr>
        <w:t xml:space="preserve">Umiejętności – </w:t>
      </w:r>
      <w:r>
        <w:rPr>
          <w:rFonts w:ascii="Arial" w:hAnsi="Arial" w:cs="Arial"/>
          <w:color w:val="222222"/>
          <w:sz w:val="18"/>
          <w:szCs w:val="18"/>
        </w:rPr>
        <w:t>Posiądą umiejętności wykorzystywania punktów krytycznych podczas produkcji pasz do nadzoru zakładów produkcyjnych, kontroli warunków przechowywania materiałów paszowych, dodatków paszowych i pasz oraz ich obrotu.</w:t>
      </w:r>
    </w:p>
    <w:p w:rsidR="00260335" w:rsidRDefault="00260335" w:rsidP="00260335">
      <w:pPr>
        <w:pStyle w:val="western"/>
        <w:spacing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r>
        <w:rPr>
          <w:rStyle w:val="Pogrubienie"/>
          <w:rFonts w:ascii="Arial" w:hAnsi="Arial" w:cs="Arial"/>
          <w:color w:val="222222"/>
          <w:sz w:val="18"/>
          <w:szCs w:val="18"/>
        </w:rPr>
        <w:t xml:space="preserve">Kompetencje/Postawy – </w:t>
      </w:r>
      <w:r>
        <w:rPr>
          <w:rFonts w:ascii="Arial" w:hAnsi="Arial" w:cs="Arial"/>
          <w:color w:val="222222"/>
          <w:sz w:val="18"/>
          <w:szCs w:val="18"/>
        </w:rPr>
        <w:t>Będą przygotowani do pracy: we wszelkiego rodzaju zakładach i przedsiębiorstwach zajmujących się produkcją materiałów i dodatków paszowych oraz pasz; w laboratoriach zajmujących się oceną jakości handlowej i zdrowotnej materiałów i dodatków paszowych pochodzenia roślinnego począwszy od produkcji pierwotnej; oraz w Inspekcji Weterynaryjnej różnych szczebli jako inspektorzy ds. pasz i utylizacji.</w:t>
      </w:r>
    </w:p>
    <w:p w:rsidR="00260335" w:rsidRDefault="00260335" w:rsidP="00260335">
      <w:pPr>
        <w:pStyle w:val="western"/>
        <w:spacing w:before="119" w:beforeAutospacing="0"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Style w:val="Pogrubienie"/>
          <w:rFonts w:ascii="Arial" w:hAnsi="Arial" w:cs="Arial"/>
          <w:color w:val="222222"/>
          <w:sz w:val="18"/>
          <w:szCs w:val="18"/>
        </w:rPr>
        <w:t>LITERATURA PODSTAWOWA</w:t>
      </w:r>
    </w:p>
    <w:p w:rsidR="00260335" w:rsidRDefault="00260335" w:rsidP="00260335">
      <w:pPr>
        <w:pStyle w:val="western"/>
        <w:spacing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Prawodawstwo polskie i unijne.</w:t>
      </w:r>
    </w:p>
    <w:p w:rsidR="00260335" w:rsidRDefault="00260335" w:rsidP="00260335">
      <w:pPr>
        <w:pStyle w:val="western"/>
        <w:spacing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Style w:val="Pogrubienie"/>
          <w:rFonts w:ascii="Arial" w:hAnsi="Arial" w:cs="Arial"/>
          <w:color w:val="222222"/>
          <w:sz w:val="18"/>
          <w:szCs w:val="18"/>
        </w:rPr>
        <w:lastRenderedPageBreak/>
        <w:t>LITERATURA UZUPEŁNIAJĄCA</w:t>
      </w:r>
    </w:p>
    <w:p w:rsidR="00260335" w:rsidRDefault="00260335" w:rsidP="00260335">
      <w:pPr>
        <w:pStyle w:val="western"/>
        <w:spacing w:after="0" w:afterAutospacing="0"/>
        <w:rPr>
          <w:rFonts w:ascii="Arial" w:hAnsi="Arial" w:cs="Arial"/>
          <w:color w:val="222222"/>
          <w:sz w:val="18"/>
          <w:szCs w:val="18"/>
        </w:rPr>
      </w:pPr>
      <w:r>
        <w:rPr>
          <w:rFonts w:ascii="Arial" w:hAnsi="Arial" w:cs="Arial"/>
          <w:color w:val="222222"/>
          <w:sz w:val="18"/>
          <w:szCs w:val="18"/>
        </w:rPr>
        <w:t>Prawodawstwo polskie i unijne.</w:t>
      </w:r>
    </w:p>
    <w:p w:rsidR="00260335" w:rsidRDefault="00260335" w:rsidP="00260335">
      <w:pPr>
        <w:pStyle w:val="western"/>
        <w:spacing w:after="0" w:afterAutospacing="0"/>
        <w:jc w:val="both"/>
        <w:rPr>
          <w:rFonts w:ascii="Arial" w:hAnsi="Arial" w:cs="Arial"/>
          <w:color w:val="222222"/>
          <w:sz w:val="18"/>
          <w:szCs w:val="18"/>
        </w:rPr>
      </w:pPr>
      <w:bookmarkStart w:id="0" w:name="_GoBack"/>
      <w:r>
        <w:rPr>
          <w:rStyle w:val="Pogrubienie"/>
          <w:rFonts w:ascii="Arial" w:hAnsi="Arial" w:cs="Arial"/>
          <w:color w:val="222222"/>
          <w:sz w:val="18"/>
          <w:szCs w:val="18"/>
        </w:rPr>
        <w:t>Status przedmiotu:</w:t>
      </w:r>
      <w:r>
        <w:rPr>
          <w:rFonts w:ascii="Arial" w:hAnsi="Arial" w:cs="Arial"/>
          <w:color w:val="222222"/>
          <w:sz w:val="18"/>
          <w:szCs w:val="18"/>
        </w:rPr>
        <w:t xml:space="preserve"> Obowiązkowy; </w:t>
      </w:r>
      <w:r>
        <w:rPr>
          <w:rStyle w:val="Pogrubienie"/>
          <w:rFonts w:ascii="Arial" w:hAnsi="Arial" w:cs="Arial"/>
          <w:color w:val="222222"/>
          <w:sz w:val="18"/>
          <w:szCs w:val="18"/>
        </w:rPr>
        <w:t xml:space="preserve">Kierunek: </w:t>
      </w:r>
      <w:r>
        <w:rPr>
          <w:rFonts w:ascii="Arial" w:hAnsi="Arial" w:cs="Arial"/>
          <w:color w:val="222222"/>
          <w:sz w:val="18"/>
          <w:szCs w:val="18"/>
        </w:rPr>
        <w:t xml:space="preserve">Weterynaria; </w:t>
      </w:r>
      <w:r>
        <w:rPr>
          <w:rStyle w:val="Pogrubienie"/>
          <w:rFonts w:ascii="Arial" w:hAnsi="Arial" w:cs="Arial"/>
          <w:color w:val="222222"/>
          <w:sz w:val="18"/>
          <w:szCs w:val="18"/>
        </w:rPr>
        <w:t xml:space="preserve">Studia: </w:t>
      </w:r>
      <w:r>
        <w:rPr>
          <w:rFonts w:ascii="Arial" w:hAnsi="Arial" w:cs="Arial"/>
          <w:color w:val="222222"/>
          <w:sz w:val="18"/>
          <w:szCs w:val="18"/>
        </w:rPr>
        <w:t xml:space="preserve">stacjonarne; </w:t>
      </w:r>
      <w:r>
        <w:rPr>
          <w:rStyle w:val="Pogrubienie"/>
          <w:rFonts w:ascii="Arial" w:hAnsi="Arial" w:cs="Arial"/>
          <w:color w:val="222222"/>
          <w:sz w:val="18"/>
          <w:szCs w:val="18"/>
        </w:rPr>
        <w:t xml:space="preserve">Poziom studiów: </w:t>
      </w:r>
      <w:r>
        <w:rPr>
          <w:rFonts w:ascii="Arial" w:hAnsi="Arial" w:cs="Arial"/>
          <w:color w:val="222222"/>
          <w:sz w:val="18"/>
          <w:szCs w:val="18"/>
        </w:rPr>
        <w:t xml:space="preserve">jednolite magisterskie; </w:t>
      </w:r>
      <w:r>
        <w:rPr>
          <w:rStyle w:val="Pogrubienie"/>
          <w:rFonts w:ascii="Arial" w:hAnsi="Arial" w:cs="Arial"/>
          <w:color w:val="222222"/>
          <w:sz w:val="18"/>
          <w:szCs w:val="18"/>
        </w:rPr>
        <w:t>rok/semestr:</w:t>
      </w:r>
      <w:r>
        <w:rPr>
          <w:rFonts w:ascii="Arial" w:hAnsi="Arial" w:cs="Arial"/>
          <w:color w:val="222222"/>
          <w:sz w:val="18"/>
          <w:szCs w:val="18"/>
        </w:rPr>
        <w:t xml:space="preserve"> IV/7; </w:t>
      </w:r>
      <w:r>
        <w:rPr>
          <w:rStyle w:val="Pogrubienie"/>
          <w:rFonts w:ascii="Arial" w:hAnsi="Arial" w:cs="Arial"/>
          <w:color w:val="222222"/>
          <w:sz w:val="18"/>
          <w:szCs w:val="18"/>
        </w:rPr>
        <w:t xml:space="preserve">Rodzaj zajęć: </w:t>
      </w:r>
      <w:r>
        <w:rPr>
          <w:rFonts w:ascii="Arial" w:hAnsi="Arial" w:cs="Arial"/>
          <w:color w:val="222222"/>
          <w:sz w:val="18"/>
          <w:szCs w:val="18"/>
        </w:rPr>
        <w:t xml:space="preserve">wykłady i ćwiczenia; </w:t>
      </w:r>
      <w:r>
        <w:rPr>
          <w:rStyle w:val="Pogrubienie"/>
          <w:rFonts w:ascii="Arial" w:hAnsi="Arial" w:cs="Arial"/>
          <w:color w:val="222222"/>
          <w:sz w:val="18"/>
          <w:szCs w:val="18"/>
        </w:rPr>
        <w:t>Liczba godzin w semestrze/tygodniu:</w:t>
      </w:r>
      <w:r>
        <w:rPr>
          <w:rFonts w:ascii="Arial" w:hAnsi="Arial" w:cs="Arial"/>
          <w:color w:val="222222"/>
          <w:sz w:val="18"/>
          <w:szCs w:val="18"/>
        </w:rPr>
        <w:t xml:space="preserve"> wykłady: 30/2; ćwiczenia: 30/2; </w:t>
      </w:r>
      <w:r>
        <w:rPr>
          <w:rStyle w:val="Pogrubienie"/>
          <w:rFonts w:ascii="Arial" w:hAnsi="Arial" w:cs="Arial"/>
          <w:color w:val="222222"/>
          <w:sz w:val="18"/>
          <w:szCs w:val="18"/>
        </w:rPr>
        <w:t>Metody dydaktyczne:</w:t>
      </w:r>
      <w:r>
        <w:rPr>
          <w:rFonts w:ascii="Arial" w:hAnsi="Arial" w:cs="Arial"/>
          <w:color w:val="222222"/>
          <w:sz w:val="18"/>
          <w:szCs w:val="18"/>
        </w:rPr>
        <w:t xml:space="preserve"> wykłady: wykłady problemowe, ćwiczenia: ćwiczenia seminarium, laboratorium z użyciem komputera; </w:t>
      </w:r>
      <w:r>
        <w:rPr>
          <w:rStyle w:val="Pogrubienie"/>
          <w:rFonts w:ascii="Arial" w:hAnsi="Arial" w:cs="Arial"/>
          <w:color w:val="222222"/>
          <w:sz w:val="18"/>
          <w:szCs w:val="18"/>
        </w:rPr>
        <w:t>Forma/warunki zaliczenia:</w:t>
      </w:r>
      <w:r>
        <w:rPr>
          <w:rStyle w:val="Pogrubienie"/>
          <w:rFonts w:ascii="Arial" w:hAnsi="Arial" w:cs="Arial"/>
          <w:color w:val="222222"/>
          <w:sz w:val="18"/>
          <w:szCs w:val="18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>e</w:t>
      </w:r>
      <w:r>
        <w:rPr>
          <w:rFonts w:ascii="Arial" w:hAnsi="Arial" w:cs="Arial"/>
          <w:color w:val="222222"/>
          <w:sz w:val="18"/>
          <w:szCs w:val="18"/>
        </w:rPr>
        <w:t xml:space="preserve">gzamin; </w:t>
      </w:r>
      <w:r>
        <w:rPr>
          <w:rStyle w:val="Pogrubienie"/>
          <w:rFonts w:ascii="Arial" w:hAnsi="Arial" w:cs="Arial"/>
          <w:color w:val="222222"/>
          <w:sz w:val="18"/>
          <w:szCs w:val="18"/>
        </w:rPr>
        <w:t xml:space="preserve">Język wykładowy: </w:t>
      </w:r>
      <w:r>
        <w:rPr>
          <w:rFonts w:ascii="Arial" w:hAnsi="Arial" w:cs="Arial"/>
          <w:color w:val="222222"/>
          <w:sz w:val="18"/>
          <w:szCs w:val="18"/>
        </w:rPr>
        <w:t xml:space="preserve">polski; </w:t>
      </w:r>
      <w:r>
        <w:rPr>
          <w:rStyle w:val="Pogrubienie"/>
          <w:rFonts w:ascii="Arial" w:hAnsi="Arial" w:cs="Arial"/>
          <w:color w:val="222222"/>
          <w:sz w:val="18"/>
          <w:szCs w:val="18"/>
        </w:rPr>
        <w:t xml:space="preserve">Przedmioty wprowadzające: </w:t>
      </w:r>
      <w:r>
        <w:rPr>
          <w:rFonts w:ascii="Arial" w:hAnsi="Arial" w:cs="Arial"/>
          <w:color w:val="222222"/>
          <w:sz w:val="18"/>
          <w:szCs w:val="18"/>
        </w:rPr>
        <w:t>Biochemia zwierząt, Fizjologia kliniczna,</w:t>
      </w:r>
      <w:r>
        <w:rPr>
          <w:rFonts w:ascii="Arial" w:hAnsi="Arial" w:cs="Arial"/>
          <w:color w:val="222222"/>
          <w:sz w:val="18"/>
          <w:szCs w:val="18"/>
        </w:rPr>
        <w:t xml:space="preserve"> </w:t>
      </w:r>
      <w:r>
        <w:rPr>
          <w:rFonts w:ascii="Arial" w:hAnsi="Arial" w:cs="Arial"/>
          <w:color w:val="222222"/>
          <w:sz w:val="18"/>
          <w:szCs w:val="18"/>
        </w:rPr>
        <w:t xml:space="preserve">Żywienie zwierząt i </w:t>
      </w:r>
      <w:r>
        <w:rPr>
          <w:rFonts w:ascii="Arial" w:hAnsi="Arial" w:cs="Arial"/>
          <w:color w:val="222222"/>
          <w:sz w:val="18"/>
          <w:szCs w:val="18"/>
        </w:rPr>
        <w:t>paszoznawstwo</w:t>
      </w:r>
      <w:r>
        <w:rPr>
          <w:rFonts w:ascii="Arial" w:hAnsi="Arial" w:cs="Arial"/>
          <w:color w:val="222222"/>
          <w:sz w:val="18"/>
          <w:szCs w:val="18"/>
        </w:rPr>
        <w:t xml:space="preserve">, Patofizjologia, Farmakologia; </w:t>
      </w:r>
      <w:r>
        <w:rPr>
          <w:rStyle w:val="Pogrubienie"/>
          <w:rFonts w:ascii="Arial" w:hAnsi="Arial" w:cs="Arial"/>
          <w:color w:val="222222"/>
          <w:sz w:val="18"/>
          <w:szCs w:val="18"/>
        </w:rPr>
        <w:t xml:space="preserve">Osoby odpowiedzialne za realizację przedmiotu: </w:t>
      </w:r>
      <w:r>
        <w:rPr>
          <w:rFonts w:ascii="Arial" w:hAnsi="Arial" w:cs="Arial"/>
          <w:color w:val="222222"/>
          <w:sz w:val="18"/>
          <w:szCs w:val="18"/>
        </w:rPr>
        <w:t>prof. Dr hab. Maciej Gajęcki</w:t>
      </w:r>
      <w:r>
        <w:rPr>
          <w:rFonts w:ascii="Arial" w:hAnsi="Arial" w:cs="Arial"/>
          <w:color w:val="222222"/>
          <w:sz w:val="18"/>
          <w:szCs w:val="18"/>
        </w:rPr>
        <w:br/>
      </w:r>
      <w:proofErr w:type="spellStart"/>
      <w:r>
        <w:rPr>
          <w:rFonts w:ascii="Arial" w:hAnsi="Arial" w:cs="Arial"/>
          <w:color w:val="222222"/>
          <w:sz w:val="18"/>
          <w:szCs w:val="18"/>
        </w:rPr>
        <w:t>e-mail:</w:t>
      </w:r>
      <w:hyperlink r:id="rId5" w:history="1">
        <w:r>
          <w:rPr>
            <w:rStyle w:val="Hipercze"/>
            <w:rFonts w:ascii="Arial" w:hAnsi="Arial" w:cs="Arial"/>
            <w:sz w:val="18"/>
            <w:szCs w:val="18"/>
          </w:rPr>
          <w:t>gajecki@uwm.edu.pl</w:t>
        </w:r>
      </w:hyperlink>
      <w:r>
        <w:rPr>
          <w:rFonts w:ascii="Arial" w:hAnsi="Arial" w:cs="Arial"/>
          <w:color w:val="222222"/>
          <w:sz w:val="18"/>
          <w:szCs w:val="18"/>
        </w:rPr>
        <w:t>;dr</w:t>
      </w:r>
      <w:proofErr w:type="spellEnd"/>
      <w:r>
        <w:rPr>
          <w:rFonts w:ascii="Arial" w:hAnsi="Arial" w:cs="Arial"/>
          <w:color w:val="222222"/>
          <w:sz w:val="18"/>
          <w:szCs w:val="18"/>
        </w:rPr>
        <w:t xml:space="preserve"> n. wet Magdalena Gajęcka e-mail:</w:t>
      </w:r>
      <w:hyperlink r:id="rId6" w:history="1">
        <w:r>
          <w:rPr>
            <w:rStyle w:val="Hipercze"/>
            <w:rFonts w:ascii="Arial" w:hAnsi="Arial" w:cs="Arial"/>
            <w:sz w:val="18"/>
            <w:szCs w:val="18"/>
          </w:rPr>
          <w:t>mgaja@uwm.edu.pl</w:t>
        </w:r>
      </w:hyperlink>
    </w:p>
    <w:bookmarkEnd w:id="0"/>
    <w:p w:rsidR="00260335" w:rsidRDefault="00260335" w:rsidP="00260335">
      <w:pPr>
        <w:pStyle w:val="western"/>
        <w:rPr>
          <w:rFonts w:ascii="Arial" w:hAnsi="Arial" w:cs="Arial"/>
          <w:color w:val="222222"/>
          <w:sz w:val="18"/>
          <w:szCs w:val="18"/>
        </w:rPr>
      </w:pPr>
    </w:p>
    <w:p w:rsidR="000F2D11" w:rsidRDefault="000F2D11"/>
    <w:sectPr w:rsidR="000F2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335"/>
    <w:rsid w:val="000F2D11"/>
    <w:rsid w:val="001256DC"/>
    <w:rsid w:val="0026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60335"/>
    <w:rPr>
      <w:b/>
      <w:bCs/>
    </w:rPr>
  </w:style>
  <w:style w:type="paragraph" w:customStyle="1" w:styleId="western">
    <w:name w:val="western"/>
    <w:basedOn w:val="Normalny"/>
    <w:rsid w:val="0026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603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260335"/>
    <w:rPr>
      <w:b/>
      <w:bCs/>
    </w:rPr>
  </w:style>
  <w:style w:type="paragraph" w:customStyle="1" w:styleId="western">
    <w:name w:val="western"/>
    <w:basedOn w:val="Normalny"/>
    <w:rsid w:val="00260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603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gaja@uwm.edu.pl" TargetMode="External"/><Relationship Id="rId5" Type="http://schemas.openxmlformats.org/officeDocument/2006/relationships/hyperlink" Target="mailto:gajecki@uwm.edu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880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PC-22</dc:creator>
  <cp:lastModifiedBy>PC-22</cp:lastModifiedBy>
  <cp:revision>1</cp:revision>
  <dcterms:created xsi:type="dcterms:W3CDTF">2012-01-19T09:09:00Z</dcterms:created>
  <dcterms:modified xsi:type="dcterms:W3CDTF">2012-01-19T10:04:00Z</dcterms:modified>
</cp:coreProperties>
</file>